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 w:line="240" w:lineRule="auto"/>
        <w:ind w:right="-143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Приложение 4</w:t>
      </w:r>
    </w:p>
    <w:p>
      <w:pPr>
        <w:spacing w:after="0" w:line="240" w:lineRule="auto"/>
        <w:ind w:right="-14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>
      <w:pPr>
        <w:spacing w:after="0" w:line="240" w:lineRule="auto"/>
        <w:ind w:right="-14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Сведения об участии в деятельности дочерних, зависимых и </w:t>
      </w:r>
    </w:p>
    <w:p>
      <w:pPr>
        <w:spacing w:after="0" w:line="240" w:lineRule="auto"/>
        <w:ind w:right="-14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других хозяйственных обществ (коммерческих организациях) в 2025 году</w:t>
      </w:r>
    </w:p>
    <w:p>
      <w:pPr>
        <w:spacing w:after="0" w:line="240" w:lineRule="auto"/>
        <w:ind w:right="-14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1"/>
        <w:gridCol w:w="1983"/>
        <w:gridCol w:w="3543"/>
        <w:gridCol w:w="1611"/>
        <w:gridCol w:w="1345"/>
        <w:gridCol w:w="1452"/>
        <w:gridCol w:w="1544"/>
        <w:gridCol w:w="1544"/>
      </w:tblGrid>
      <w:tr>
        <w:trPr>
          <w:trHeight w:val="493"/>
        </w:trPr>
        <w:tc>
          <w:tcPr>
            <w:tcW w:w="740" w:type="pct"/>
            <w:vMerge w:val="restart"/>
            <w:shd w:val="clear" w:color="auto" w:fill="E7E6E6" w:themeFill="background2"/>
            <w:vAlign w:val="center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Сокращенное</w:t>
            </w:r>
          </w:p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Фирменное</w:t>
            </w:r>
          </w:p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наименование</w:t>
            </w:r>
          </w:p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Общества</w:t>
            </w:r>
          </w:p>
        </w:tc>
        <w:tc>
          <w:tcPr>
            <w:tcW w:w="649" w:type="pct"/>
            <w:vMerge w:val="restart"/>
            <w:shd w:val="clear" w:color="auto" w:fill="E7E6E6" w:themeFill="background2"/>
            <w:vAlign w:val="center"/>
          </w:tcPr>
          <w:p>
            <w:pPr>
              <w:spacing w:after="0" w:line="240" w:lineRule="auto"/>
              <w:ind w:left="37" w:right="-143" w:hanging="37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Регион</w:t>
            </w:r>
          </w:p>
          <w:p>
            <w:pPr>
              <w:spacing w:after="0" w:line="240" w:lineRule="auto"/>
              <w:ind w:left="37" w:right="-143" w:hanging="37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1159" w:type="pct"/>
            <w:vMerge w:val="restart"/>
            <w:shd w:val="clear" w:color="auto" w:fill="E7E6E6" w:themeFill="background2"/>
            <w:vAlign w:val="center"/>
          </w:tcPr>
          <w:p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Основной</w:t>
            </w:r>
          </w:p>
          <w:p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вид</w:t>
            </w:r>
          </w:p>
          <w:p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527" w:type="pct"/>
            <w:vMerge w:val="restart"/>
            <w:shd w:val="clear" w:color="auto" w:fill="E7E6E6" w:themeFill="background2"/>
            <w:vAlign w:val="center"/>
          </w:tcPr>
          <w:p>
            <w:pPr>
              <w:spacing w:after="0" w:line="240" w:lineRule="auto"/>
              <w:ind w:left="-110" w:right="-143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Цель</w:t>
            </w:r>
          </w:p>
          <w:p>
            <w:pPr>
              <w:spacing w:after="0" w:line="240" w:lineRule="auto"/>
              <w:ind w:left="-110" w:right="-14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участия</w:t>
            </w:r>
          </w:p>
        </w:tc>
        <w:tc>
          <w:tcPr>
            <w:tcW w:w="440" w:type="pct"/>
            <w:vMerge w:val="restart"/>
            <w:shd w:val="clear" w:color="auto" w:fill="E7E6E6" w:themeFill="background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Доля ПАО «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Волга» в уставном капитале Общества на 31.12.2025</w:t>
            </w:r>
          </w:p>
        </w:tc>
        <w:tc>
          <w:tcPr>
            <w:tcW w:w="980" w:type="pct"/>
            <w:gridSpan w:val="2"/>
            <w:shd w:val="clear" w:color="auto" w:fill="E7E6E6" w:themeFill="background2"/>
            <w:vAlign w:val="center"/>
          </w:tcPr>
          <w:p>
            <w:pPr>
              <w:spacing w:after="0" w:line="240" w:lineRule="auto"/>
              <w:ind w:left="-133" w:right="-14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Финансовые показатели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br/>
              <w:t>за 202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505" w:type="pct"/>
            <w:vMerge w:val="restart"/>
            <w:shd w:val="clear" w:color="auto" w:fill="E7E6E6" w:themeFill="background2"/>
            <w:vAlign w:val="center"/>
          </w:tcPr>
          <w:p>
            <w:pPr>
              <w:spacing w:after="0" w:line="240" w:lineRule="auto"/>
              <w:ind w:left="34" w:right="-1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Размер полученных в отчетном году дивидендов по имеющимся у общества акциям, </w:t>
            </w:r>
          </w:p>
          <w:p>
            <w:pPr>
              <w:spacing w:after="0" w:line="240" w:lineRule="auto"/>
              <w:ind w:left="34" w:right="-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тыс. руб.</w:t>
            </w:r>
          </w:p>
        </w:tc>
      </w:tr>
      <w:tr>
        <w:trPr>
          <w:trHeight w:val="53"/>
        </w:trPr>
        <w:tc>
          <w:tcPr>
            <w:tcW w:w="740" w:type="pct"/>
            <w:vMerge/>
            <w:shd w:val="clear" w:color="auto" w:fill="auto"/>
          </w:tcPr>
          <w:p>
            <w:pPr>
              <w:spacing w:after="0" w:line="240" w:lineRule="auto"/>
              <w:ind w:left="426" w:right="-143" w:hanging="42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shd w:val="clear" w:color="auto" w:fill="auto"/>
          </w:tcPr>
          <w:p>
            <w:pPr>
              <w:spacing w:after="0" w:line="240" w:lineRule="auto"/>
              <w:ind w:left="426" w:right="-143" w:hanging="42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pct"/>
            <w:vMerge/>
            <w:shd w:val="clear" w:color="auto" w:fill="auto"/>
          </w:tcPr>
          <w:p>
            <w:pPr>
              <w:spacing w:after="0" w:line="240" w:lineRule="auto"/>
              <w:ind w:left="426" w:right="-143" w:hanging="42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vMerge/>
            <w:shd w:val="clear" w:color="auto" w:fill="auto"/>
          </w:tcPr>
          <w:p>
            <w:pPr>
              <w:spacing w:after="0" w:line="240" w:lineRule="auto"/>
              <w:ind w:left="426" w:right="-143" w:hanging="42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shd w:val="clear" w:color="auto" w:fill="auto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shd w:val="clear" w:color="auto" w:fill="E7E6E6" w:themeFill="background2"/>
            <w:vAlign w:val="center"/>
          </w:tcPr>
          <w:p>
            <w:pPr>
              <w:spacing w:after="0" w:line="240" w:lineRule="auto"/>
              <w:ind w:left="37" w:right="-143" w:hanging="37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Выручка</w:t>
            </w:r>
          </w:p>
          <w:p>
            <w:pPr>
              <w:spacing w:after="0" w:line="240" w:lineRule="auto"/>
              <w:ind w:left="37" w:right="-143" w:hanging="3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505" w:type="pct"/>
            <w:shd w:val="clear" w:color="auto" w:fill="E7E6E6" w:themeFill="background2"/>
            <w:vAlign w:val="center"/>
          </w:tcPr>
          <w:p>
            <w:pPr>
              <w:spacing w:after="0" w:line="240" w:lineRule="auto"/>
              <w:ind w:left="-93" w:right="-143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Чистая прибыль</w:t>
            </w:r>
          </w:p>
          <w:p>
            <w:pPr>
              <w:spacing w:after="0" w:line="240" w:lineRule="auto"/>
              <w:ind w:left="-93" w:right="-14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505" w:type="pct"/>
            <w:vMerge/>
            <w:shd w:val="clear" w:color="auto" w:fill="auto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246"/>
        </w:trPr>
        <w:tc>
          <w:tcPr>
            <w:tcW w:w="740" w:type="pct"/>
            <w:shd w:val="clear" w:color="auto" w:fill="auto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9" w:type="pct"/>
            <w:shd w:val="clear" w:color="auto" w:fill="auto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9" w:type="pct"/>
            <w:shd w:val="clear" w:color="auto" w:fill="auto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7" w:type="pct"/>
            <w:shd w:val="clear" w:color="auto" w:fill="auto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0" w:type="pct"/>
            <w:shd w:val="clear" w:color="auto" w:fill="auto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5" w:type="pct"/>
            <w:shd w:val="clear" w:color="auto" w:fill="auto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5" w:type="pct"/>
            <w:shd w:val="clear" w:color="auto" w:fill="auto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5" w:type="pct"/>
            <w:shd w:val="clear" w:color="auto" w:fill="auto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>
        <w:trPr>
          <w:trHeight w:val="246"/>
        </w:trPr>
        <w:tc>
          <w:tcPr>
            <w:tcW w:w="5000" w:type="pct"/>
            <w:gridSpan w:val="8"/>
            <w:shd w:val="clear" w:color="auto" w:fill="DEEAF6" w:themeFill="accent1" w:themeFillTint="33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Профильные общества</w:t>
            </w:r>
          </w:p>
        </w:tc>
      </w:tr>
      <w:tr>
        <w:trPr>
          <w:trHeight w:val="53"/>
        </w:trPr>
        <w:tc>
          <w:tcPr>
            <w:tcW w:w="740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spacing w:after="0" w:line="240" w:lineRule="auto"/>
              <w:ind w:left="-97" w:right="-50" w:hanging="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>
            <w:pPr>
              <w:spacing w:after="0" w:line="240" w:lineRule="auto"/>
              <w:ind w:left="-141" w:firstLine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-100" w:right="-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-100" w:right="-1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53"/>
        </w:trPr>
        <w:tc>
          <w:tcPr>
            <w:tcW w:w="5000" w:type="pct"/>
            <w:gridSpan w:val="8"/>
            <w:shd w:val="clear" w:color="auto" w:fill="DEEAF6" w:themeFill="accent1" w:themeFillTint="33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Непрофильные общества</w:t>
            </w:r>
          </w:p>
        </w:tc>
      </w:tr>
      <w:tr>
        <w:trPr>
          <w:trHeight w:val="53"/>
        </w:trPr>
        <w:tc>
          <w:tcPr>
            <w:tcW w:w="740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АО «Социальная сфера-М» </w:t>
            </w: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115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санаторно-курортных услуг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spacing w:after="0" w:line="240" w:lineRule="auto"/>
              <w:ind w:left="-97" w:right="-50" w:hanging="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прибыли</w:t>
            </w: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475" w:type="pct"/>
            <w:shd w:val="clear" w:color="auto" w:fill="auto"/>
            <w:vAlign w:val="center"/>
          </w:tcPr>
          <w:p>
            <w:pPr>
              <w:spacing w:after="0" w:line="240" w:lineRule="auto"/>
              <w:ind w:left="-141" w:firstLine="1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36 859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-100" w:right="-4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454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-100" w:right="-1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>
        <w:trPr>
          <w:trHeight w:val="53"/>
        </w:trPr>
        <w:tc>
          <w:tcPr>
            <w:tcW w:w="740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АО «ЧАК» </w:t>
            </w: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115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перевозки пассажиров автомобильны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 транспортом; 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по предоставлению транспорта в аренду, техобслуживанию и ремонту автотранспорта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spacing w:after="0" w:line="240" w:lineRule="auto"/>
              <w:ind w:left="-97" w:right="-50" w:hanging="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прибыли</w:t>
            </w: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100%-1 акция</w:t>
            </w:r>
          </w:p>
        </w:tc>
        <w:tc>
          <w:tcPr>
            <w:tcW w:w="475" w:type="pct"/>
            <w:shd w:val="clear" w:color="auto" w:fill="auto"/>
            <w:vAlign w:val="center"/>
          </w:tcPr>
          <w:p>
            <w:pPr>
              <w:spacing w:after="0" w:line="240" w:lineRule="auto"/>
              <w:ind w:left="-141" w:firstLine="1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859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-100" w:right="-4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(5 205)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-100" w:right="-1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>
        <w:trPr>
          <w:trHeight w:val="53"/>
        </w:trPr>
        <w:tc>
          <w:tcPr>
            <w:tcW w:w="740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АО «Санаторий-профилакторий «Солнечный» </w:t>
            </w: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115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медицинских, консультативных, экспертных, туроператорских, информационных, организационных и управленческих услуг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spacing w:after="0" w:line="240" w:lineRule="auto"/>
              <w:ind w:left="-97" w:right="-50" w:hanging="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прибыли</w:t>
            </w: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100%-1 акция</w:t>
            </w:r>
          </w:p>
        </w:tc>
        <w:tc>
          <w:tcPr>
            <w:tcW w:w="475" w:type="pct"/>
            <w:shd w:val="clear" w:color="auto" w:fill="auto"/>
            <w:vAlign w:val="center"/>
          </w:tcPr>
          <w:p>
            <w:pPr>
              <w:spacing w:after="0" w:line="240" w:lineRule="auto"/>
              <w:ind w:left="-141" w:firstLine="1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90 815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-100" w:right="-4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11 449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-100" w:right="-15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5 556</w:t>
            </w:r>
          </w:p>
        </w:tc>
      </w:tr>
      <w:tr>
        <w:trPr>
          <w:trHeight w:val="53"/>
        </w:trPr>
        <w:tc>
          <w:tcPr>
            <w:tcW w:w="740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Волги»</w:t>
            </w: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115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деятельность по обеспечению работоспособности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электрических и тепловых сетей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spacing w:after="0" w:line="240" w:lineRule="auto"/>
              <w:ind w:left="-97" w:right="-50" w:hanging="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Получение прибыли</w:t>
            </w: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475" w:type="pct"/>
            <w:shd w:val="clear" w:color="auto" w:fill="auto"/>
            <w:vAlign w:val="center"/>
          </w:tcPr>
          <w:p>
            <w:pPr>
              <w:spacing w:after="0" w:line="240" w:lineRule="auto"/>
              <w:ind w:left="-141" w:firstLine="1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2 213 705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-100" w:right="-4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100 677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-100" w:right="-1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51 835</w:t>
            </w:r>
          </w:p>
        </w:tc>
      </w:tr>
      <w:tr>
        <w:trPr>
          <w:trHeight w:val="53"/>
        </w:trPr>
        <w:tc>
          <w:tcPr>
            <w:tcW w:w="740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ПАО «ОГК-2»*</w:t>
            </w: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Тюменская, Рязанская, Ленинградская, Челябинская, Ростовская, Волгоградская, Свердловская, Псковская области.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Ставропольский, Красноярский, Краснодарский края</w:t>
            </w:r>
          </w:p>
        </w:tc>
        <w:tc>
          <w:tcPr>
            <w:tcW w:w="115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производство и продажа электрической и тепловой энергии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spacing w:after="0" w:line="240" w:lineRule="auto"/>
              <w:ind w:left="-97" w:right="-50" w:hanging="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прибыли</w:t>
            </w: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0,00001</w:t>
            </w:r>
          </w:p>
        </w:tc>
        <w:tc>
          <w:tcPr>
            <w:tcW w:w="475" w:type="pct"/>
            <w:shd w:val="clear" w:color="auto" w:fill="auto"/>
            <w:vAlign w:val="center"/>
          </w:tcPr>
          <w:p>
            <w:pPr>
              <w:spacing w:after="0" w:line="240" w:lineRule="auto"/>
              <w:ind w:left="-82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-82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-100" w:right="-1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>
        <w:trPr>
          <w:trHeight w:val="53"/>
        </w:trPr>
        <w:tc>
          <w:tcPr>
            <w:tcW w:w="740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Юнипро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»*</w:t>
            </w: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Смоленская,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Тюменская, Московская области Красноярский,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пермский края</w:t>
            </w:r>
          </w:p>
        </w:tc>
        <w:tc>
          <w:tcPr>
            <w:tcW w:w="115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производство и поставка электрической и тепловой энергии и мощности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spacing w:after="0" w:line="240" w:lineRule="auto"/>
              <w:ind w:left="-97" w:right="-50" w:hanging="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прибыли</w:t>
            </w: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0,00002</w:t>
            </w:r>
          </w:p>
        </w:tc>
        <w:tc>
          <w:tcPr>
            <w:tcW w:w="475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-100" w:right="-1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53"/>
        </w:trPr>
        <w:tc>
          <w:tcPr>
            <w:tcW w:w="740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ПАО «Эл5-Энерго»</w:t>
            </w: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Тверская, Свердловская области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115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производство электрической и тепловой энергии;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поставка (продажа) электрической и тепловой энергии;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деятельность по получению (покупке) электрической и тепловой энергии с оптового рынка электрической энергии (мощности)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spacing w:after="0" w:line="240" w:lineRule="auto"/>
              <w:ind w:left="-97" w:right="-50" w:hanging="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прибыли</w:t>
            </w: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0,00001</w:t>
            </w:r>
          </w:p>
        </w:tc>
        <w:tc>
          <w:tcPr>
            <w:tcW w:w="475" w:type="pct"/>
            <w:shd w:val="clear" w:color="auto" w:fill="auto"/>
            <w:vAlign w:val="center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72 754 896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4 214 884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-100" w:right="-1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>
        <w:trPr>
          <w:trHeight w:val="53"/>
        </w:trPr>
        <w:tc>
          <w:tcPr>
            <w:tcW w:w="740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ПАО «Мосэнерго»*</w:t>
            </w: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115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производство электрической и тепловой энергии; 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-деятельность по поставке (продаже) электрической и тепловой энергии;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-деятельность по получению (покупке) электрической и тепловой энергии (мощности).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spacing w:after="0" w:line="240" w:lineRule="auto"/>
              <w:ind w:left="-97" w:right="-50" w:hanging="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Получение прибыли</w:t>
            </w: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0,00001</w:t>
            </w:r>
          </w:p>
        </w:tc>
        <w:tc>
          <w:tcPr>
            <w:tcW w:w="475" w:type="pct"/>
            <w:shd w:val="clear" w:color="auto" w:fill="auto"/>
            <w:vAlign w:val="center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-100" w:right="-1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>
        <w:trPr>
          <w:trHeight w:val="53"/>
        </w:trPr>
        <w:tc>
          <w:tcPr>
            <w:tcW w:w="740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РАО»</w:t>
            </w:r>
          </w:p>
        </w:tc>
        <w:tc>
          <w:tcPr>
            <w:tcW w:w="64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159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производство электрической и тепловой энергии;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деятельность по поставке (продаже) электрической и тепловой энергии;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деятельность по получению (покупке) электрической энергии с оптового рынка электрической энергии (мощности)</w:t>
            </w:r>
          </w:p>
        </w:tc>
        <w:tc>
          <w:tcPr>
            <w:tcW w:w="527" w:type="pct"/>
            <w:shd w:val="clear" w:color="auto" w:fill="auto"/>
            <w:vAlign w:val="center"/>
          </w:tcPr>
          <w:p>
            <w:pPr>
              <w:spacing w:after="0" w:line="240" w:lineRule="auto"/>
              <w:ind w:left="-97" w:right="-50" w:hanging="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прибыли</w:t>
            </w: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0,00001</w:t>
            </w:r>
          </w:p>
        </w:tc>
        <w:tc>
          <w:tcPr>
            <w:tcW w:w="475" w:type="pct"/>
            <w:shd w:val="clear" w:color="auto" w:fill="auto"/>
            <w:vAlign w:val="center"/>
          </w:tcPr>
          <w:p>
            <w:pPr>
              <w:spacing w:after="0" w:line="240" w:lineRule="auto"/>
              <w:ind w:lef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58 289 823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-100" w:right="-1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35 322 949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after="0" w:line="240" w:lineRule="auto"/>
              <w:ind w:left="-100" w:right="-1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2,4</w:t>
            </w:r>
          </w:p>
        </w:tc>
      </w:tr>
    </w:tbl>
    <w:p>
      <w:pPr>
        <w:spacing w:after="0" w:line="240" w:lineRule="auto"/>
        <w:ind w:firstLine="709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* В настоящее время годовая бухгалтерская отчетность за 2025 год не раскрыта</w:t>
      </w:r>
    </w:p>
    <w:p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 соответствии с решением Совета директоров ПАО «</w:t>
      </w:r>
      <w:proofErr w:type="spellStart"/>
      <w:r>
        <w:rPr>
          <w:rFonts w:ascii="Times New Roman" w:hAnsi="Times New Roman"/>
          <w:i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Волга» 23.06.2025 № 26 (протокол от 24.06.2025) посредством продажи на организованном рынке ценных бумаг с привлечением профессионального участника организованного рынка ценных бумаг (Акционерное общество «Газпромбанк»), из списка исключены:</w:t>
      </w:r>
    </w:p>
    <w:p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Публичное акционерное общество «</w:t>
      </w:r>
      <w:r>
        <w:rPr>
          <w:rFonts w:ascii="Times New Roman" w:hAnsi="Times New Roman"/>
          <w:bCs/>
          <w:i/>
          <w:sz w:val="24"/>
          <w:szCs w:val="24"/>
        </w:rPr>
        <w:t>Вторая генерирующая компания оптового рынка электроэнергии</w:t>
      </w:r>
      <w:r>
        <w:rPr>
          <w:rFonts w:ascii="Times New Roman" w:hAnsi="Times New Roman"/>
          <w:i/>
          <w:sz w:val="24"/>
          <w:szCs w:val="24"/>
        </w:rPr>
        <w:t>».</w:t>
      </w:r>
    </w:p>
    <w:p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Публичное акционерное общество энергетики и электрификации «</w:t>
      </w:r>
      <w:r>
        <w:rPr>
          <w:rFonts w:ascii="Times New Roman" w:hAnsi="Times New Roman"/>
          <w:bCs/>
          <w:i/>
          <w:sz w:val="24"/>
          <w:szCs w:val="24"/>
        </w:rPr>
        <w:t>Мосэнерго</w:t>
      </w:r>
      <w:r>
        <w:rPr>
          <w:rFonts w:ascii="Times New Roman" w:hAnsi="Times New Roman"/>
          <w:i/>
          <w:sz w:val="24"/>
          <w:szCs w:val="24"/>
        </w:rPr>
        <w:t>».</w:t>
      </w:r>
    </w:p>
    <w:p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Публичное акционерное общество «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Юнипро</w:t>
      </w:r>
      <w:proofErr w:type="spellEnd"/>
      <w:r>
        <w:rPr>
          <w:rFonts w:ascii="Times New Roman" w:hAnsi="Times New Roman"/>
          <w:i/>
          <w:sz w:val="24"/>
          <w:szCs w:val="24"/>
        </w:rPr>
        <w:t>».</w:t>
      </w:r>
    </w:p>
    <w:p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Публичное акционерное общество «</w:t>
      </w:r>
      <w:r>
        <w:rPr>
          <w:rFonts w:ascii="Times New Roman" w:hAnsi="Times New Roman"/>
          <w:bCs/>
          <w:i/>
          <w:sz w:val="24"/>
          <w:szCs w:val="24"/>
        </w:rPr>
        <w:t>ЭЛ5-Энерго</w:t>
      </w:r>
      <w:r>
        <w:rPr>
          <w:rFonts w:ascii="Times New Roman" w:hAnsi="Times New Roman"/>
          <w:i/>
          <w:sz w:val="24"/>
          <w:szCs w:val="24"/>
        </w:rPr>
        <w:t>».</w:t>
      </w:r>
    </w:p>
    <w:p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об участии в некоммерческих организациях в 2025 году</w:t>
      </w:r>
    </w:p>
    <w:p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972"/>
        <w:gridCol w:w="4820"/>
        <w:gridCol w:w="3552"/>
        <w:gridCol w:w="3782"/>
      </w:tblGrid>
      <w:tr>
        <w:tc>
          <w:tcPr>
            <w:tcW w:w="982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НКО</w:t>
            </w:r>
          </w:p>
        </w:tc>
        <w:tc>
          <w:tcPr>
            <w:tcW w:w="1593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Основные сведения об организации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(виды деятельности)</w:t>
            </w:r>
          </w:p>
        </w:tc>
        <w:tc>
          <w:tcPr>
            <w:tcW w:w="1174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Цель участия</w:t>
            </w:r>
          </w:p>
        </w:tc>
        <w:tc>
          <w:tcPr>
            <w:tcW w:w="1250" w:type="pct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Финансовые параметры участия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(виды платежей/сумма, тыс. руб.)</w:t>
            </w:r>
          </w:p>
        </w:tc>
      </w:tr>
      <w:tr>
        <w:tc>
          <w:tcPr>
            <w:tcW w:w="982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Общероссийское отраслевое объединение работодателей электроэнергетики «Энергетическая </w:t>
            </w:r>
            <w:proofErr w:type="spellStart"/>
            <w:r>
              <w:rPr>
                <w:rFonts w:ascii="Times New Roman" w:eastAsia="Times New Roman" w:hAnsi="Times New Roman"/>
                <w:bCs/>
              </w:rPr>
              <w:t>работодательская</w:t>
            </w:r>
            <w:proofErr w:type="spellEnd"/>
            <w:r>
              <w:rPr>
                <w:rFonts w:ascii="Times New Roman" w:eastAsia="Times New Roman" w:hAnsi="Times New Roman"/>
                <w:bCs/>
              </w:rPr>
              <w:t xml:space="preserve"> ассоциация России» (</w:t>
            </w:r>
            <w:r>
              <w:rPr>
                <w:rFonts w:ascii="Times New Roman" w:eastAsia="Times New Roman" w:hAnsi="Times New Roman"/>
              </w:rPr>
              <w:t>Ассоциация «</w:t>
            </w:r>
            <w:r>
              <w:rPr>
                <w:rFonts w:ascii="Times New Roman" w:eastAsia="Times New Roman" w:hAnsi="Times New Roman"/>
                <w:bCs/>
              </w:rPr>
              <w:t>ЭРА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России</w:t>
            </w:r>
            <w:r>
              <w:rPr>
                <w:rFonts w:ascii="Times New Roman" w:eastAsia="Times New Roman" w:hAnsi="Times New Roman"/>
              </w:rPr>
              <w:t>»)</w:t>
            </w:r>
          </w:p>
        </w:tc>
        <w:tc>
          <w:tcPr>
            <w:tcW w:w="1593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</w:rPr>
              <w:t>Сотрудничество, представительство и защита интересов работодателей отрасли в отношениях с органами государственной власти, органами местного самоуправления, профессиональными союзами, их объединениями и другими организациями наемных работников, иными объединениями.</w:t>
            </w:r>
          </w:p>
        </w:tc>
        <w:tc>
          <w:tcPr>
            <w:tcW w:w="1174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</w:rPr>
              <w:t>Распространение норм Отраслевого тарифного соглашения в электроэнергетике РФ (далее-ОТС) в Обществе. ОТС – основной правовой акт, регулирующий социально-трудовые отношения в электроэнергетике и устанавливающий общие принципы регулирования связанных с ними экономических отношений, общие условия оплаты труда, гарантии, компенсации и льготы работникам отрасли. Нормы ОТС не дублируют положения законодательства РФ, а отражают отраслевую специфику, в том числе помогают работодателям в проведении мероприятий по эффективному повышению производительности труда.</w:t>
            </w:r>
          </w:p>
        </w:tc>
        <w:tc>
          <w:tcPr>
            <w:tcW w:w="1250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Членские взносы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- 2 100 тыс. руб. в год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(ежеквартально - </w:t>
            </w:r>
            <w:r>
              <w:rPr>
                <w:rFonts w:ascii="Times New Roman" w:hAnsi="Times New Roman"/>
                <w:lang w:val="en-US"/>
              </w:rPr>
              <w:t>525</w:t>
            </w:r>
            <w:r>
              <w:rPr>
                <w:rFonts w:ascii="Times New Roman" w:hAnsi="Times New Roman"/>
              </w:rPr>
              <w:t xml:space="preserve"> тыс. руб.)</w:t>
            </w:r>
          </w:p>
        </w:tc>
      </w:tr>
      <w:tr>
        <w:tc>
          <w:tcPr>
            <w:tcW w:w="982" w:type="pct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Ассоциация организаций, осуществляющих проектирование энергетических объектов «ЭНЕРГОПРОЕКТ» (Ассоциация «ЭНЕРГОПРОЕКТ»)</w:t>
            </w:r>
          </w:p>
        </w:tc>
        <w:tc>
          <w:tcPr>
            <w:tcW w:w="1593" w:type="pct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</w:rPr>
              <w:t>Разработка и утверждение нормативных документов Ассоциации, обязательных для использования всеми ее членами, в том числе, предусмотренных Градостроительным кодексом РФ: требований к выдаче свидетельств о допуске к работам по подготовке проектной документации, которые оказывают влияние на безопасность объектов капитального строительства, правил контроля в области саморегулирования, системы мер дисциплинарного воздействия на членов Ассоциации требований этих документов.</w:t>
            </w:r>
          </w:p>
        </w:tc>
        <w:tc>
          <w:tcPr>
            <w:tcW w:w="1174" w:type="pct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Возможность выполнения подготовки проектной документации для объектов ИПР и технологического присоединения «</w:t>
            </w:r>
            <w:proofErr w:type="spellStart"/>
            <w:r>
              <w:rPr>
                <w:rFonts w:ascii="Times New Roman" w:eastAsia="Times New Roman" w:hAnsi="Times New Roman"/>
              </w:rPr>
              <w:t>хозспособом</w:t>
            </w:r>
            <w:proofErr w:type="spellEnd"/>
            <w:r>
              <w:rPr>
                <w:rFonts w:ascii="Times New Roman" w:eastAsia="Times New Roman" w:hAnsi="Times New Roman"/>
              </w:rPr>
              <w:t>». Данная деятельность регламентирована Градостроительным кодексом РФ.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Членские взносы 276 тыс. руб. в год </w:t>
            </w:r>
          </w:p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Целевые взносы на нужды НОПРИЗ 8 тыс. руб. в год.</w:t>
            </w:r>
          </w:p>
        </w:tc>
      </w:tr>
      <w:tr>
        <w:tc>
          <w:tcPr>
            <w:tcW w:w="982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Ассоциация СО «Объединение строителей «Волга»</w:t>
            </w:r>
          </w:p>
        </w:tc>
        <w:tc>
          <w:tcPr>
            <w:tcW w:w="1593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Деятельность прочих общественных организаций и некоммерческих организаций, кроме религиозных и политических организаций</w:t>
            </w:r>
          </w:p>
        </w:tc>
        <w:tc>
          <w:tcPr>
            <w:tcW w:w="1174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Получение права на осуществление строительной деятельности в соответствии с требованиями законодательства РФ</w:t>
            </w:r>
          </w:p>
        </w:tc>
        <w:tc>
          <w:tcPr>
            <w:tcW w:w="1250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Членские взносы 128,00 тыс. руб.</w:t>
            </w:r>
          </w:p>
        </w:tc>
      </w:tr>
      <w:tr>
        <w:tc>
          <w:tcPr>
            <w:tcW w:w="982" w:type="pct"/>
            <w:tcBorders>
              <w:top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lastRenderedPageBreak/>
              <w:t>Саморегулируемая организация Ассоциация лиц, осуществляющих деятельность в области энергетического обследования «</w:t>
            </w:r>
            <w:proofErr w:type="spellStart"/>
            <w:r>
              <w:rPr>
                <w:rFonts w:ascii="Times New Roman" w:eastAsia="Times New Roman" w:hAnsi="Times New Roman"/>
                <w:bCs/>
              </w:rPr>
              <w:t>ЭнергоПрофАудит</w:t>
            </w:r>
            <w:proofErr w:type="spellEnd"/>
            <w:r>
              <w:rPr>
                <w:rFonts w:ascii="Times New Roman" w:eastAsia="Times New Roman" w:hAnsi="Times New Roman"/>
                <w:bCs/>
              </w:rPr>
              <w:t xml:space="preserve">» </w:t>
            </w:r>
          </w:p>
          <w:p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</w:rPr>
              <w:t>(СРО Ассоциация «</w:t>
            </w:r>
            <w:proofErr w:type="spellStart"/>
            <w:r>
              <w:rPr>
                <w:rFonts w:ascii="Times New Roman" w:eastAsia="Times New Roman" w:hAnsi="Times New Roman"/>
                <w:bCs/>
              </w:rPr>
              <w:t>ЭнергоПрофАудит</w:t>
            </w:r>
            <w:proofErr w:type="spellEnd"/>
            <w:r>
              <w:rPr>
                <w:rFonts w:ascii="Times New Roman" w:eastAsia="Times New Roman" w:hAnsi="Times New Roman"/>
                <w:bCs/>
              </w:rPr>
              <w:t>»)</w:t>
            </w:r>
          </w:p>
        </w:tc>
        <w:tc>
          <w:tcPr>
            <w:tcW w:w="1593" w:type="pct"/>
            <w:tcBorders>
              <w:top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и установление обязательных для выполнения членами Партнерства стандартов и правил профессиональной деятельности, правил деловой и профессиональной этики, а также других внутренних документов, регулирующих профессиональную деятельность его членов обязательного и рекомендательного характера. Разработка и утверждение правил и условий приема в члены Партнерства (Порядок приема в члены и прекращения членства), дополнительных требований к порядку обеспечения имущественной ответственности своих членов при осуществлении ими профессиональной деятельности, установка размеров членских взносов и порядка их внесения.</w:t>
            </w:r>
          </w:p>
        </w:tc>
        <w:tc>
          <w:tcPr>
            <w:tcW w:w="1174" w:type="pct"/>
            <w:tcBorders>
              <w:top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Систематизация работы в области энергосбережения и проведения обязательного энергетического обследования. Повышение квалификации работников в области энергосбережения.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</w:rPr>
              <w:t>Разработка и поддержание системы контроля качества осуществления профессиональной деятельности.</w:t>
            </w:r>
          </w:p>
        </w:tc>
        <w:tc>
          <w:tcPr>
            <w:tcW w:w="1250" w:type="pct"/>
            <w:tcBorders>
              <w:top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Ежегодные членские взносы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1 104 тыс. руб. в год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- 240 тыс. руб.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квартал - 288 тыс. руб.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квартал - 288 тыс. руб.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- 288 тыс. руб.</w:t>
            </w:r>
          </w:p>
        </w:tc>
      </w:tr>
      <w:tr>
        <w:tc>
          <w:tcPr>
            <w:tcW w:w="982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«Научно-технический совет Единой энергетической системы» 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</w:rPr>
              <w:t>(НП «НТС ЕЭС»)</w:t>
            </w:r>
          </w:p>
        </w:tc>
        <w:tc>
          <w:tcPr>
            <w:tcW w:w="1593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</w:rPr>
              <w:t>Содействие членам партнерства в формировании научно-обоснованной технической политики в ЕЭС России и отдельных объектов электроэнергетики, а также помощи в продвижении одобренных на заседаниях Научно-технической коллегии (Коллегии) проектов и работ.</w:t>
            </w:r>
          </w:p>
        </w:tc>
        <w:tc>
          <w:tcPr>
            <w:tcW w:w="1174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</w:rPr>
              <w:t>Получение содействия при формировании научно-обоснованной технической политики в ЕЭС России и отдельных объектов электроэнергетики, а также помощь в продвижении одобренных на заседаниях Научно-технической коллегии (Коллегии) проектов и работ.</w:t>
            </w:r>
          </w:p>
        </w:tc>
        <w:tc>
          <w:tcPr>
            <w:tcW w:w="1250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Ежегодные членские взносы –  2 000,0 тыс. руб.</w:t>
            </w:r>
          </w:p>
        </w:tc>
      </w:tr>
      <w:tr>
        <w:tc>
          <w:tcPr>
            <w:tcW w:w="982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Ассоциация «Некоммерческое партнерство Территориальных сетевых организаций» 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(Ассоциация «НП ТСО»)</w:t>
            </w:r>
          </w:p>
        </w:tc>
        <w:tc>
          <w:tcPr>
            <w:tcW w:w="1593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формирование предложений для включения в проекты нормативных правовых актов, регулирующих правила осуществления деятельности на рынке электроэнергии;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взаимодействие с уполномоченными государственными органами, регулирующими и контролирующими деятельность Ассоциации и функционирование рынка электрической энергии и мощности;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анализ результатов функционирования рынка электрической энергии (мощности) и раскрытие информации, предусмотренной законодательством Российской Федерации.</w:t>
            </w:r>
          </w:p>
        </w:tc>
        <w:tc>
          <w:tcPr>
            <w:tcW w:w="1174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</w:rPr>
              <w:t xml:space="preserve">Защита профессиональных интересов в органах власти всех уровней, инфраструктурных, некоммерческих и общественных организациях.  </w:t>
            </w:r>
          </w:p>
        </w:tc>
        <w:tc>
          <w:tcPr>
            <w:tcW w:w="1250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Членские взносы 400 тыс. руб. в год. (ежеквартально 100 тыс. руб.)</w:t>
            </w:r>
          </w:p>
        </w:tc>
      </w:tr>
      <w:tr>
        <w:tc>
          <w:tcPr>
            <w:tcW w:w="982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Ассоциация «Некоммерческое партнерство Совет рынка по организации эффективной системы оптовой и розничной </w:t>
            </w:r>
            <w:r>
              <w:rPr>
                <w:rFonts w:ascii="Times New Roman" w:eastAsia="Times New Roman" w:hAnsi="Times New Roman"/>
              </w:rPr>
              <w:lastRenderedPageBreak/>
              <w:t xml:space="preserve">торговли электрической энергией и мощностью» 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(Ассоциация «НП Совет рынка»)</w:t>
            </w:r>
          </w:p>
        </w:tc>
        <w:tc>
          <w:tcPr>
            <w:tcW w:w="1593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 xml:space="preserve">Участие в подготовке правил оптового и розничных рынков электроэнергии и предложений о внесении в них изменений и дополнений. Разработка и утверждение стандартной формы договора о присоединении к торговой системе оптового рынка, </w:t>
            </w:r>
            <w:r>
              <w:rPr>
                <w:rFonts w:ascii="Times New Roman" w:hAnsi="Times New Roman"/>
              </w:rPr>
              <w:lastRenderedPageBreak/>
              <w:t>регламентов оптового рынка, стандартных форм договоров, обеспечивающих осуществление торговли на оптовом рынке электрической энергией, мощностью, иными товарами, обращение которых осуществляется на оптовом рынке, а также оказание услуг, связанных с обращением указанных товаров на оптовом рынке. Определение порядка ведения и ведение реестра субъектов оптового рынка, принятие решения о присвоении или лишении статуса субъекта оптового рынка.</w:t>
            </w:r>
          </w:p>
        </w:tc>
        <w:tc>
          <w:tcPr>
            <w:tcW w:w="1174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Исполнения пункта 1 статьи 35 Федерального закона «Об электроэнергетике» (получение статуса субъекта оптового рынка, участника обращения электрической </w:t>
            </w:r>
            <w:r>
              <w:rPr>
                <w:rFonts w:ascii="Times New Roman" w:hAnsi="Times New Roman"/>
              </w:rPr>
              <w:lastRenderedPageBreak/>
              <w:t>энергии на оптовом рынке). В случае подхвата  функций ГП, для упрощения выхода, а так же осуществления расчетов на рынке оптовой и розничной торговли электрической энергией и мощностью</w:t>
            </w:r>
          </w:p>
        </w:tc>
        <w:tc>
          <w:tcPr>
            <w:tcW w:w="1250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Членские взносы 1 648 тыс. руб. в год. </w:t>
            </w:r>
          </w:p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(ежеквартально - 4</w:t>
            </w:r>
            <w:r>
              <w:rPr>
                <w:rFonts w:ascii="Times New Roman" w:eastAsia="Times New Roman" w:hAnsi="Times New Roman"/>
                <w:lang w:val="en-US"/>
              </w:rPr>
              <w:t>12</w:t>
            </w:r>
            <w:r>
              <w:rPr>
                <w:rFonts w:ascii="Times New Roman" w:eastAsia="Times New Roman" w:hAnsi="Times New Roman"/>
              </w:rPr>
              <w:t xml:space="preserve"> тыс. руб.)</w:t>
            </w:r>
          </w:p>
        </w:tc>
      </w:tr>
    </w:tbl>
    <w:p>
      <w:pPr>
        <w:pStyle w:val="a5"/>
        <w:rPr>
          <w:rFonts w:ascii="Times New Roman" w:hAnsi="Times New Roman"/>
          <w:i/>
          <w:sz w:val="20"/>
        </w:rPr>
      </w:pPr>
    </w:p>
    <w:sectPr>
      <w:footerReference w:type="default" r:id="rId8"/>
      <w:pgSz w:w="16838" w:h="11906" w:orient="landscape"/>
      <w:pgMar w:top="1361" w:right="851" w:bottom="851" w:left="851" w:header="709" w:footer="567" w:gutter="0"/>
      <w:pgNumType w:start="3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690921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>
        <w:pPr>
          <w:pStyle w:val="a9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396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339EC"/>
    <w:multiLevelType w:val="hybridMultilevel"/>
    <w:tmpl w:val="C8225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34C35"/>
    <w:multiLevelType w:val="hybridMultilevel"/>
    <w:tmpl w:val="765623D4"/>
    <w:lvl w:ilvl="0" w:tplc="D430E0FA">
      <w:start w:val="4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4A0FD8"/>
    <w:multiLevelType w:val="hybridMultilevel"/>
    <w:tmpl w:val="F0662B8E"/>
    <w:lvl w:ilvl="0" w:tplc="79BA4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A2A730C0-FDBD-4DE7-ABE4-A4EEBB9E8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table" w:styleId="a6">
    <w:name w:val="Grid Table Light"/>
    <w:basedOn w:val="a1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rFonts w:ascii="Calibri" w:eastAsia="Calibri" w:hAnsi="Calibri" w:cs="Times New Roman"/>
    </w:rPr>
  </w:style>
  <w:style w:type="table" w:styleId="ab">
    <w:name w:val="Table Grid"/>
    <w:basedOn w:val="a1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D2626-652A-43A4-BF25-71D784EEF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6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Волги</Company>
  <LinksUpToDate>false</LinksUpToDate>
  <CharactersWithSpaces>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Ягоденко Надежда Анатольевна</dc:creator>
  <cp:keywords/>
  <dc:description/>
  <cp:lastModifiedBy>Реброва Екатерина Андреевна</cp:lastModifiedBy>
  <cp:revision>12</cp:revision>
  <cp:lastPrinted>2021-03-05T04:57:00Z</cp:lastPrinted>
  <dcterms:created xsi:type="dcterms:W3CDTF">2026-03-19T06:13:00Z</dcterms:created>
  <dcterms:modified xsi:type="dcterms:W3CDTF">2026-04-23T13:02:00Z</dcterms:modified>
</cp:coreProperties>
</file>